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05C" w:rsidRDefault="00BA2381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 w:val="0"/>
            <w:sz w:val="22"/>
          </w:rPr>
          <w:t>LA COMMUNAUTE FRANCAISE</w:t>
        </w:r>
      </w:smartTag>
    </w:p>
    <w:p w:rsidR="00B4505C" w:rsidRDefault="00B4505C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</w:p>
    <w:p w:rsidR="00B4505C" w:rsidRDefault="00BA2381">
      <w:pPr>
        <w:pStyle w:val="Texte"/>
        <w:ind w:right="-289"/>
        <w:jc w:val="center"/>
        <w:rPr>
          <w:rFonts w:ascii="Times New Roman" w:hAnsi="Times New Roman"/>
          <w:b/>
          <w:noProof w:val="0"/>
        </w:rPr>
      </w:pPr>
      <w:r>
        <w:rPr>
          <w:rFonts w:ascii="Times New Roman" w:hAnsi="Times New Roman"/>
          <w:b/>
          <w:noProof w:val="0"/>
        </w:rPr>
        <w:t>ADMINISTRATION GENERALE DE L’ENSEIGNEMENT</w:t>
      </w:r>
    </w:p>
    <w:p w:rsidR="00B4505C" w:rsidRDefault="00B4505C">
      <w:pPr>
        <w:pStyle w:val="Texte"/>
        <w:jc w:val="center"/>
        <w:rPr>
          <w:rFonts w:ascii="Times New Roman" w:hAnsi="Times New Roman"/>
          <w:noProof w:val="0"/>
          <w:sz w:val="22"/>
        </w:rPr>
      </w:pPr>
    </w:p>
    <w:p w:rsidR="00B4505C" w:rsidRDefault="00BA2381">
      <w:pPr>
        <w:pStyle w:val="Texte"/>
        <w:jc w:val="center"/>
        <w:rPr>
          <w:rFonts w:ascii="Times New Roman" w:hAnsi="Times New Roman"/>
          <w:b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>ENSEIGNEMENT DE PROMOTION SOCIALE</w:t>
      </w:r>
    </w:p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/>
    <w:p w:rsidR="00B4505C" w:rsidRDefault="00B4505C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B4505C" w:rsidRDefault="00BA2381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  <w:r>
        <w:rPr>
          <w:rFonts w:ascii="Times New Roman" w:hAnsi="Times New Roman"/>
          <w:b/>
          <w:noProof w:val="0"/>
          <w:sz w:val="28"/>
        </w:rPr>
        <w:t>DOSSIER PEDAGOGIQUE</w:t>
      </w:r>
    </w:p>
    <w:p w:rsidR="00B4505C" w:rsidRDefault="00B4505C">
      <w:pPr>
        <w:pStyle w:val="Texte"/>
        <w:ind w:left="2269" w:right="2602"/>
        <w:jc w:val="center"/>
        <w:rPr>
          <w:rFonts w:ascii="Times New Roman" w:hAnsi="Times New Roman"/>
          <w:b/>
          <w:noProof w:val="0"/>
          <w:sz w:val="28"/>
        </w:rPr>
      </w:pPr>
    </w:p>
    <w:p w:rsidR="00B4505C" w:rsidRDefault="00B4505C"/>
    <w:p w:rsidR="00B4505C" w:rsidRDefault="00B4505C"/>
    <w:p w:rsidR="00B4505C" w:rsidRDefault="00BA2381">
      <w:pPr>
        <w:pStyle w:val="Titre4"/>
      </w:pPr>
      <w:r>
        <w:t>UNITE D’ENSEIGNEMENT</w:t>
      </w:r>
    </w:p>
    <w:p w:rsidR="00B4505C" w:rsidRDefault="00B4505C">
      <w:pPr>
        <w:jc w:val="center"/>
      </w:pPr>
    </w:p>
    <w:p w:rsidR="00B4505C" w:rsidRDefault="00B4505C">
      <w:pPr>
        <w:pStyle w:val="Titre5"/>
      </w:pPr>
    </w:p>
    <w:p w:rsidR="00B4505C" w:rsidRDefault="00BA2381">
      <w:pPr>
        <w:pStyle w:val="Titre5"/>
      </w:pPr>
      <w:r>
        <w:t xml:space="preserve">Gestion des ressources humaines </w:t>
      </w:r>
    </w:p>
    <w:p w:rsidR="00B4505C" w:rsidRDefault="00BA2381">
      <w:pPr>
        <w:pStyle w:val="Titre5"/>
      </w:pPr>
      <w:r>
        <w:t>du secteur de la sante</w:t>
      </w:r>
    </w:p>
    <w:p w:rsidR="00B4505C" w:rsidRDefault="00B4505C">
      <w:pPr>
        <w:pStyle w:val="Titre5"/>
        <w:rPr>
          <w:i/>
        </w:rPr>
      </w:pPr>
    </w:p>
    <w:p w:rsidR="00B4505C" w:rsidRDefault="00B4505C">
      <w:pPr>
        <w:jc w:val="center"/>
      </w:pPr>
    </w:p>
    <w:p w:rsidR="00B4505C" w:rsidRDefault="00BA2381">
      <w:pPr>
        <w:pStyle w:val="Texte"/>
        <w:jc w:val="center"/>
        <w:rPr>
          <w:rFonts w:ascii="Times New Roman" w:hAnsi="Times New Roman"/>
          <w:b/>
          <w:caps/>
          <w:noProof w:val="0"/>
          <w:sz w:val="22"/>
        </w:rPr>
      </w:pPr>
      <w:r>
        <w:rPr>
          <w:rFonts w:ascii="Times New Roman" w:hAnsi="Times New Roman"/>
          <w:b/>
          <w:noProof w:val="0"/>
          <w:sz w:val="22"/>
        </w:rPr>
        <w:t xml:space="preserve">ENSEIGNEMENT </w:t>
      </w:r>
      <w:r>
        <w:rPr>
          <w:rFonts w:ascii="Times New Roman" w:hAnsi="Times New Roman"/>
          <w:b/>
          <w:caps/>
          <w:noProof w:val="0"/>
          <w:sz w:val="22"/>
        </w:rPr>
        <w:t>superieur de type court</w:t>
      </w:r>
    </w:p>
    <w:p w:rsidR="00B4505C" w:rsidRDefault="00BA2381">
      <w:pPr>
        <w:pStyle w:val="Texte"/>
        <w:jc w:val="center"/>
        <w:rPr>
          <w:rFonts w:ascii="Times New Roman" w:hAnsi="Times New Roman"/>
          <w:noProof w:val="0"/>
          <w:sz w:val="22"/>
        </w:rPr>
      </w:pPr>
      <w:r>
        <w:rPr>
          <w:rFonts w:ascii="Times New Roman" w:hAnsi="Times New Roman"/>
          <w:noProof w:val="0"/>
          <w:sz w:val="22"/>
        </w:rPr>
        <w:t>DOMAINE : SCIENCES DE LA SANTE PUBLIQUE</w:t>
      </w:r>
    </w:p>
    <w:p w:rsidR="00B4505C" w:rsidRDefault="00B4505C">
      <w:pPr>
        <w:ind w:right="828"/>
        <w:jc w:val="center"/>
      </w:pPr>
    </w:p>
    <w:p w:rsidR="00B4505C" w:rsidRDefault="00B4505C">
      <w:pPr>
        <w:ind w:right="828"/>
        <w:jc w:val="center"/>
      </w:pPr>
    </w:p>
    <w:p w:rsidR="00B4505C" w:rsidRDefault="00B4505C">
      <w:pPr>
        <w:ind w:right="828"/>
        <w:jc w:val="center"/>
      </w:pPr>
    </w:p>
    <w:p w:rsidR="00B4505C" w:rsidRDefault="00B4505C">
      <w:pPr>
        <w:jc w:val="center"/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6120"/>
      </w:tblGrid>
      <w:tr w:rsidR="00B4505C">
        <w:trPr>
          <w:jc w:val="center"/>
        </w:trPr>
        <w:tc>
          <w:tcPr>
            <w:tcW w:w="6120" w:type="dxa"/>
          </w:tcPr>
          <w:p w:rsidR="00B4505C" w:rsidRDefault="00BA2381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: 82 30 02 U34 D2</w:t>
            </w:r>
          </w:p>
        </w:tc>
      </w:tr>
      <w:tr w:rsidR="00B4505C">
        <w:trPr>
          <w:jc w:val="center"/>
        </w:trPr>
        <w:tc>
          <w:tcPr>
            <w:tcW w:w="6120" w:type="dxa"/>
          </w:tcPr>
          <w:p w:rsidR="00B4505C" w:rsidRDefault="00BA2381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CODE DU DOMAINE DE FORMATION : 804</w:t>
            </w:r>
          </w:p>
        </w:tc>
      </w:tr>
      <w:tr w:rsidR="00B4505C">
        <w:trPr>
          <w:jc w:val="center"/>
        </w:trPr>
        <w:tc>
          <w:tcPr>
            <w:tcW w:w="6120" w:type="dxa"/>
          </w:tcPr>
          <w:p w:rsidR="00B4505C" w:rsidRDefault="00BA2381">
            <w:pPr>
              <w:pStyle w:val="Texte"/>
              <w:jc w:val="center"/>
              <w:rPr>
                <w:rFonts w:ascii="Times New Roman" w:hAnsi="Times New Roman"/>
                <w:b/>
                <w:noProof w:val="0"/>
                <w:sz w:val="22"/>
              </w:rPr>
            </w:pPr>
            <w:r>
              <w:rPr>
                <w:rFonts w:ascii="Times New Roman" w:hAnsi="Times New Roman"/>
                <w:b/>
                <w:noProof w:val="0"/>
                <w:sz w:val="22"/>
              </w:rPr>
              <w:t>DOCUMENT DE REFERENCE INTER-RESEAUX</w:t>
            </w:r>
          </w:p>
        </w:tc>
      </w:tr>
    </w:tbl>
    <w:p w:rsidR="00B4505C" w:rsidRDefault="00B4505C">
      <w:pPr>
        <w:jc w:val="center"/>
      </w:pPr>
    </w:p>
    <w:p w:rsidR="00B4505C" w:rsidRDefault="00B4505C">
      <w:pPr>
        <w:jc w:val="center"/>
      </w:pPr>
    </w:p>
    <w:p w:rsidR="00B4505C" w:rsidRDefault="00B4505C">
      <w:pPr>
        <w:jc w:val="center"/>
      </w:pPr>
    </w:p>
    <w:p w:rsidR="00B4505C" w:rsidRDefault="00B4505C">
      <w:pPr>
        <w:jc w:val="center"/>
      </w:pPr>
    </w:p>
    <w:p w:rsidR="00B4505C" w:rsidRDefault="00B4505C">
      <w:pPr>
        <w:jc w:val="center"/>
      </w:pPr>
    </w:p>
    <w:p w:rsidR="00B4505C" w:rsidRDefault="00B4505C">
      <w:pPr>
        <w:jc w:val="center"/>
      </w:pPr>
    </w:p>
    <w:p w:rsidR="00B4505C" w:rsidRDefault="00B4505C">
      <w:pPr>
        <w:jc w:val="center"/>
      </w:pPr>
    </w:p>
    <w:p w:rsidR="00B4505C" w:rsidRDefault="00B4505C">
      <w:pPr>
        <w:jc w:val="center"/>
      </w:pPr>
    </w:p>
    <w:p w:rsidR="00B4505C" w:rsidRDefault="00BA2381">
      <w:pPr>
        <w:jc w:val="center"/>
        <w:rPr>
          <w:b/>
        </w:rPr>
      </w:pPr>
      <w:r>
        <w:rPr>
          <w:b/>
        </w:rPr>
        <w:t xml:space="preserve">Approbation du Gouvernement de la Communauté française du </w:t>
      </w:r>
      <w:r w:rsidR="002F7D68">
        <w:rPr>
          <w:b/>
        </w:rPr>
        <w:t>20 décembre 2019</w:t>
      </w:r>
      <w:r>
        <w:rPr>
          <w:b/>
        </w:rPr>
        <w:t xml:space="preserve">, </w:t>
      </w:r>
    </w:p>
    <w:p w:rsidR="00B4505C" w:rsidRDefault="00BA2381">
      <w:pPr>
        <w:jc w:val="center"/>
        <w:rPr>
          <w:b/>
        </w:rPr>
      </w:pPr>
      <w:proofErr w:type="gramStart"/>
      <w:r>
        <w:rPr>
          <w:b/>
        </w:rPr>
        <w:t>sur</w:t>
      </w:r>
      <w:proofErr w:type="gramEnd"/>
      <w:r>
        <w:rPr>
          <w:b/>
        </w:rPr>
        <w:t xml:space="preserve"> avis conforme du Conseil général</w:t>
      </w:r>
    </w:p>
    <w:p w:rsidR="00B4505C" w:rsidRDefault="00B4505C">
      <w:pPr>
        <w:jc w:val="center"/>
        <w:rPr>
          <w:b/>
        </w:rPr>
      </w:pPr>
    </w:p>
    <w:tbl>
      <w:tblPr>
        <w:tblW w:w="9520" w:type="dxa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20"/>
      </w:tblGrid>
      <w:tr w:rsidR="00B4505C">
        <w:trPr>
          <w:trHeight w:val="1501"/>
        </w:trPr>
        <w:tc>
          <w:tcPr>
            <w:tcW w:w="9520" w:type="dxa"/>
          </w:tcPr>
          <w:p w:rsidR="00B4505C" w:rsidRDefault="00B4505C">
            <w:pPr>
              <w:jc w:val="center"/>
              <w:rPr>
                <w:b/>
                <w:sz w:val="28"/>
              </w:rPr>
            </w:pPr>
          </w:p>
          <w:p w:rsidR="00B4505C" w:rsidRDefault="00BA2381">
            <w:pPr>
              <w:pStyle w:val="Titre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Gestion des ressources humaines du secteur de la sante</w:t>
            </w:r>
          </w:p>
          <w:p w:rsidR="00B4505C" w:rsidRDefault="00B4505C">
            <w:pPr>
              <w:jc w:val="center"/>
              <w:rPr>
                <w:b/>
                <w:bCs/>
                <w:sz w:val="28"/>
              </w:rPr>
            </w:pPr>
          </w:p>
          <w:p w:rsidR="00B4505C" w:rsidRDefault="00BA238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bCs/>
                <w:sz w:val="28"/>
              </w:rPr>
              <w:t>ENSEIGNEMENT SUPERIEUR DE TYPE COURT</w:t>
            </w:r>
          </w:p>
        </w:tc>
      </w:tr>
    </w:tbl>
    <w:p w:rsidR="00B4505C" w:rsidRDefault="00B4505C">
      <w:pPr>
        <w:ind w:right="-1"/>
        <w:rPr>
          <w:sz w:val="22"/>
          <w:u w:val="single"/>
        </w:rPr>
      </w:pPr>
    </w:p>
    <w:p w:rsidR="00B4505C" w:rsidRDefault="00B4505C">
      <w:pPr>
        <w:ind w:right="-1"/>
        <w:rPr>
          <w:sz w:val="22"/>
          <w:u w:val="single"/>
        </w:rPr>
      </w:pPr>
    </w:p>
    <w:p w:rsidR="00B4505C" w:rsidRDefault="00BA2381">
      <w:pPr>
        <w:pStyle w:val="Titre2"/>
        <w:numPr>
          <w:ilvl w:val="0"/>
          <w:numId w:val="22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 w:rsidR="00B4505C" w:rsidRDefault="00B4505C">
      <w:pPr>
        <w:rPr>
          <w:b/>
          <w:sz w:val="22"/>
        </w:rPr>
      </w:pPr>
    </w:p>
    <w:p w:rsidR="00B4505C" w:rsidRDefault="00BA2381">
      <w:pPr>
        <w:pStyle w:val="Paragraphedeliste"/>
        <w:numPr>
          <w:ilvl w:val="1"/>
          <w:numId w:val="22"/>
        </w:numPr>
        <w:rPr>
          <w:b/>
          <w:sz w:val="22"/>
        </w:rPr>
      </w:pPr>
      <w:r>
        <w:rPr>
          <w:b/>
          <w:sz w:val="22"/>
        </w:rPr>
        <w:t>Finalités générales</w:t>
      </w:r>
    </w:p>
    <w:p w:rsidR="00B4505C" w:rsidRDefault="00B4505C">
      <w:pPr>
        <w:rPr>
          <w:b/>
          <w:sz w:val="22"/>
        </w:rPr>
      </w:pPr>
    </w:p>
    <w:p w:rsidR="00B4505C" w:rsidRDefault="00BA2381">
      <w:pPr>
        <w:pStyle w:val="Retraitcorpsdetexte2"/>
        <w:jc w:val="both"/>
      </w:pPr>
      <w:r>
        <w:t>Conformément à l’article 7 du décret de la Communauté française du 16 avril 1991 organisant l’enseignement de promotion sociale, cette unité d’enseignement doit :</w:t>
      </w:r>
    </w:p>
    <w:p w:rsidR="00B4505C" w:rsidRDefault="00BA2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</w:rPr>
      </w:pPr>
      <w:r>
        <w:rPr>
          <w:sz w:val="22"/>
        </w:rPr>
        <w:t>concourir à l’épanouissement individuel en promouvant une meilleure insertion professionnelle</w:t>
      </w:r>
      <w:r>
        <w:rPr>
          <w:sz w:val="22"/>
        </w:rPr>
        <w:t>, sociale, scolaire et culturelle ;</w:t>
      </w:r>
    </w:p>
    <w:p w:rsidR="00B4505C" w:rsidRDefault="00BA2381">
      <w:pPr>
        <w:numPr>
          <w:ilvl w:val="0"/>
          <w:numId w:val="2"/>
        </w:numPr>
        <w:tabs>
          <w:tab w:val="left" w:pos="360"/>
        </w:tabs>
        <w:spacing w:before="120"/>
        <w:ind w:left="1066" w:hanging="425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 w:rsidR="00B4505C" w:rsidRDefault="00B4505C">
      <w:pPr>
        <w:rPr>
          <w:sz w:val="22"/>
        </w:rPr>
      </w:pPr>
    </w:p>
    <w:p w:rsidR="00B4505C" w:rsidRDefault="00BA2381">
      <w:pPr>
        <w:pStyle w:val="Paragraphedeliste"/>
        <w:numPr>
          <w:ilvl w:val="1"/>
          <w:numId w:val="22"/>
        </w:numPr>
        <w:rPr>
          <w:b/>
          <w:sz w:val="22"/>
        </w:rPr>
      </w:pPr>
      <w:r>
        <w:rPr>
          <w:b/>
          <w:sz w:val="22"/>
        </w:rPr>
        <w:t>Finalités particulières</w:t>
      </w:r>
    </w:p>
    <w:p w:rsidR="00B4505C" w:rsidRDefault="00BA2381">
      <w:pPr>
        <w:pStyle w:val="Corpsdetexte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Cette unité </w:t>
      </w:r>
      <w:r>
        <w:rPr>
          <w:sz w:val="22"/>
          <w:szCs w:val="22"/>
        </w:rPr>
        <w:t>d’enseignement vise à permettre à l’étudiant de développer des compétences de gestionnaire de ressources humaines d’une équipe de travail, en relation avec le contexte organisationnel du secteur de la santé, et notamment :</w:t>
      </w:r>
    </w:p>
    <w:p w:rsidR="00B4505C" w:rsidRDefault="00BA2381">
      <w:pPr>
        <w:pStyle w:val="Corpsdetexte"/>
        <w:numPr>
          <w:ilvl w:val="0"/>
          <w:numId w:val="2"/>
        </w:numPr>
        <w:ind w:hanging="219"/>
        <w:jc w:val="both"/>
        <w:rPr>
          <w:sz w:val="22"/>
          <w:szCs w:val="22"/>
        </w:rPr>
      </w:pPr>
      <w:r>
        <w:rPr>
          <w:sz w:val="22"/>
          <w:szCs w:val="22"/>
        </w:rPr>
        <w:t>en approche psychosociologique d’</w:t>
      </w:r>
      <w:r>
        <w:rPr>
          <w:sz w:val="22"/>
          <w:szCs w:val="22"/>
        </w:rPr>
        <w:t>un groupe en tant qu’unité de travail ;</w:t>
      </w:r>
    </w:p>
    <w:p w:rsidR="00B4505C" w:rsidRDefault="00BA2381">
      <w:pPr>
        <w:pStyle w:val="Corpsdetexte"/>
        <w:numPr>
          <w:ilvl w:val="0"/>
          <w:numId w:val="2"/>
        </w:numPr>
        <w:ind w:hanging="219"/>
        <w:jc w:val="both"/>
        <w:rPr>
          <w:sz w:val="22"/>
          <w:szCs w:val="22"/>
        </w:rPr>
      </w:pPr>
      <w:r>
        <w:rPr>
          <w:sz w:val="22"/>
          <w:szCs w:val="22"/>
        </w:rPr>
        <w:t>en management d’une équipe de travail, particulièrement lors de situations de formation, d'évaluation, de délégation et de gestion de conflits ;</w:t>
      </w:r>
    </w:p>
    <w:p w:rsidR="00B4505C" w:rsidRDefault="00BA2381">
      <w:pPr>
        <w:pStyle w:val="Corpsdetexte"/>
        <w:numPr>
          <w:ilvl w:val="0"/>
          <w:numId w:val="2"/>
        </w:numPr>
        <w:ind w:hanging="219"/>
        <w:jc w:val="both"/>
        <w:rPr>
          <w:sz w:val="22"/>
          <w:szCs w:val="22"/>
        </w:rPr>
      </w:pPr>
      <w:r>
        <w:rPr>
          <w:sz w:val="22"/>
          <w:szCs w:val="22"/>
        </w:rPr>
        <w:t>en droit du travail.</w:t>
      </w:r>
    </w:p>
    <w:p w:rsidR="00B4505C" w:rsidRDefault="00B4505C">
      <w:pPr>
        <w:ind w:left="709"/>
        <w:rPr>
          <w:sz w:val="22"/>
        </w:rPr>
      </w:pPr>
    </w:p>
    <w:p w:rsidR="00B4505C" w:rsidRDefault="00BA2381">
      <w:pPr>
        <w:pStyle w:val="Paragraphedeliste"/>
        <w:numPr>
          <w:ilvl w:val="0"/>
          <w:numId w:val="22"/>
        </w:numPr>
        <w:jc w:val="both"/>
        <w:rPr>
          <w:b/>
          <w:sz w:val="22"/>
        </w:rPr>
      </w:pPr>
      <w:r>
        <w:rPr>
          <w:b/>
          <w:sz w:val="22"/>
        </w:rPr>
        <w:t>CAPACITES PREALABLES REQUISES</w:t>
      </w:r>
    </w:p>
    <w:p w:rsidR="00B4505C" w:rsidRDefault="00B4505C">
      <w:pPr>
        <w:ind w:left="284"/>
        <w:rPr>
          <w:b/>
          <w:sz w:val="22"/>
        </w:rPr>
      </w:pPr>
    </w:p>
    <w:p w:rsidR="00B4505C" w:rsidRDefault="00BA2381">
      <w:pPr>
        <w:pStyle w:val="Paragraphedeliste"/>
        <w:numPr>
          <w:ilvl w:val="1"/>
          <w:numId w:val="22"/>
        </w:numPr>
        <w:rPr>
          <w:b/>
          <w:sz w:val="22"/>
        </w:rPr>
      </w:pPr>
      <w:r>
        <w:rPr>
          <w:b/>
          <w:sz w:val="22"/>
        </w:rPr>
        <w:t>Capacités</w:t>
      </w:r>
    </w:p>
    <w:p w:rsidR="00B4505C" w:rsidRDefault="00BA2381">
      <w:pPr>
        <w:numPr>
          <w:ilvl w:val="0"/>
          <w:numId w:val="17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produire</w:t>
      </w:r>
      <w:r>
        <w:rPr>
          <w:sz w:val="22"/>
          <w:szCs w:val="22"/>
        </w:rPr>
        <w:t xml:space="preserve"> une analyse réflexive concernant une problématique professionnelle en exploitant des ressources bibliographiques adéquates et les données probantes ;</w:t>
      </w:r>
    </w:p>
    <w:p w:rsidR="00B4505C" w:rsidRDefault="00BA2381">
      <w:pPr>
        <w:numPr>
          <w:ilvl w:val="0"/>
          <w:numId w:val="17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situer l’exercice de sa profession au sein du système de santé ;</w:t>
      </w:r>
    </w:p>
    <w:p w:rsidR="00B4505C" w:rsidRDefault="00BA2381">
      <w:pPr>
        <w:numPr>
          <w:ilvl w:val="0"/>
          <w:numId w:val="17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se situer au sein d’une équipe pluridisc</w:t>
      </w:r>
      <w:r>
        <w:rPr>
          <w:sz w:val="22"/>
          <w:szCs w:val="22"/>
        </w:rPr>
        <w:t>iplinaire dans un contexte institutionnel de santé et dans le cadre de la prise en charge d’un patient ;</w:t>
      </w:r>
    </w:p>
    <w:p w:rsidR="00B4505C" w:rsidRDefault="00BA2381">
      <w:pPr>
        <w:numPr>
          <w:ilvl w:val="0"/>
          <w:numId w:val="17"/>
        </w:numPr>
        <w:tabs>
          <w:tab w:val="left" w:pos="360"/>
        </w:tabs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décrire et justifier, au départ d’une situation de soin donnée, les démarches de prise en charge globale d’un patient et les principes qui les sous-ten</w:t>
      </w:r>
      <w:r>
        <w:rPr>
          <w:sz w:val="22"/>
          <w:szCs w:val="22"/>
        </w:rPr>
        <w:t>dent.</w:t>
      </w:r>
    </w:p>
    <w:p w:rsidR="00B4505C" w:rsidRDefault="00BA2381">
      <w:pPr>
        <w:numPr>
          <w:ilvl w:val="0"/>
          <w:numId w:val="17"/>
        </w:numPr>
        <w:spacing w:before="120"/>
        <w:ind w:left="924" w:hanging="357"/>
        <w:rPr>
          <w:sz w:val="22"/>
          <w:szCs w:val="22"/>
        </w:rPr>
      </w:pPr>
      <w:r>
        <w:rPr>
          <w:sz w:val="22"/>
          <w:szCs w:val="22"/>
        </w:rPr>
        <w:t>décrire des principes de base de la dynamique de groupe.</w:t>
      </w:r>
    </w:p>
    <w:p w:rsidR="00B4505C" w:rsidRDefault="00B4505C">
      <w:pPr>
        <w:tabs>
          <w:tab w:val="left" w:pos="360"/>
        </w:tabs>
        <w:spacing w:before="120"/>
        <w:ind w:left="1066"/>
        <w:jc w:val="both"/>
        <w:rPr>
          <w:sz w:val="22"/>
          <w:szCs w:val="22"/>
          <w:lang w:val="fr-FR"/>
        </w:rPr>
      </w:pPr>
    </w:p>
    <w:p w:rsidR="00B4505C" w:rsidRDefault="00BA2381">
      <w:pPr>
        <w:pStyle w:val="Paragraphedeliste"/>
        <w:numPr>
          <w:ilvl w:val="1"/>
          <w:numId w:val="22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 w:rsidR="00B4505C" w:rsidRDefault="00BA2381">
      <w:pPr>
        <w:pStyle w:val="Retraitcorpsdetexte"/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soit un diplôme de bachelier ou de master dont la liste est définie et tenue à jour par le Gouvernement, après consultation de l’ARES (Académie de Recherche et d’En</w:t>
      </w:r>
      <w:r>
        <w:rPr>
          <w:sz w:val="22"/>
          <w:szCs w:val="22"/>
        </w:rPr>
        <w:t xml:space="preserve">seignement Supérieur), </w:t>
      </w:r>
    </w:p>
    <w:p w:rsidR="00B4505C" w:rsidRDefault="00BA2381">
      <w:pPr>
        <w:pStyle w:val="Retraitcorpsdetexte"/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soit un diplôme délivré en Communauté flamande ou germanophone similaire à un diplôme contenu dans la liste dont question supra,</w:t>
      </w:r>
    </w:p>
    <w:p w:rsidR="00B4505C" w:rsidRDefault="00BA2381">
      <w:pPr>
        <w:pStyle w:val="Retraitcorpsdetexte"/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soit un diplôme étranger reconnu équivalent à un diplôme contenu dans la liste dont question supra.</w:t>
      </w:r>
    </w:p>
    <w:p w:rsidR="00B4505C" w:rsidRDefault="00B4505C">
      <w:pPr>
        <w:rPr>
          <w:sz w:val="22"/>
        </w:rPr>
      </w:pPr>
    </w:p>
    <w:p w:rsidR="00B4505C" w:rsidRDefault="00B4505C">
      <w:pPr>
        <w:rPr>
          <w:sz w:val="22"/>
        </w:rPr>
      </w:pPr>
    </w:p>
    <w:p w:rsidR="00B4505C" w:rsidRDefault="00BA2381">
      <w:pPr>
        <w:pStyle w:val="Paragraphedeliste"/>
        <w:numPr>
          <w:ilvl w:val="0"/>
          <w:numId w:val="22"/>
        </w:numPr>
        <w:jc w:val="both"/>
        <w:rPr>
          <w:b/>
          <w:sz w:val="22"/>
        </w:rPr>
      </w:pPr>
      <w:r>
        <w:rPr>
          <w:b/>
          <w:sz w:val="22"/>
        </w:rPr>
        <w:t>ACQUIS D’APPRENTISSAGE</w:t>
      </w:r>
    </w:p>
    <w:p w:rsidR="00B4505C" w:rsidRDefault="00B4505C">
      <w:pPr>
        <w:jc w:val="both"/>
        <w:rPr>
          <w:sz w:val="22"/>
        </w:rPr>
      </w:pPr>
    </w:p>
    <w:p w:rsidR="00B4505C" w:rsidRDefault="00BA2381">
      <w:pPr>
        <w:spacing w:after="120"/>
        <w:ind w:left="284"/>
        <w:jc w:val="both"/>
        <w:rPr>
          <w:b/>
          <w:color w:val="000000"/>
          <w:sz w:val="22"/>
          <w:szCs w:val="22"/>
          <w:lang w:val="fr-FR"/>
        </w:rPr>
      </w:pPr>
      <w:r>
        <w:rPr>
          <w:b/>
          <w:color w:val="000000"/>
          <w:sz w:val="22"/>
          <w:szCs w:val="22"/>
          <w:lang w:val="fr-FR"/>
        </w:rPr>
        <w:t>Pour atteindre le seuil de réussite, l’étudiant sera capable :</w:t>
      </w:r>
    </w:p>
    <w:p w:rsidR="00B4505C" w:rsidRDefault="00BA2381">
      <w:pPr>
        <w:spacing w:after="120"/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Au départ d’une ou plusieurs situation(s) de relations de travail liée à la fonction de cadre de santé,</w:t>
      </w:r>
    </w:p>
    <w:p w:rsidR="00B4505C" w:rsidRDefault="00B4505C">
      <w:pPr>
        <w:ind w:left="284"/>
        <w:jc w:val="both"/>
        <w:rPr>
          <w:color w:val="000000"/>
          <w:sz w:val="22"/>
          <w:szCs w:val="22"/>
          <w:lang w:val="fr-FR"/>
        </w:rPr>
      </w:pPr>
      <w:bookmarkStart w:id="0" w:name="_GoBack"/>
      <w:bookmarkEnd w:id="0"/>
    </w:p>
    <w:p w:rsidR="00B4505C" w:rsidRDefault="00BA2381">
      <w:pPr>
        <w:numPr>
          <w:ilvl w:val="0"/>
          <w:numId w:val="15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d’analyser et d’évaluer à l’aide d’outils conceptuels adéquats a</w:t>
      </w:r>
      <w:r>
        <w:rPr>
          <w:sz w:val="22"/>
          <w:szCs w:val="22"/>
        </w:rPr>
        <w:t>insi que de dégager et de justifier des pistes prioritaires d’actions à mettre en œuvre en ce qui concerne:</w:t>
      </w:r>
    </w:p>
    <w:p w:rsidR="00B4505C" w:rsidRDefault="00BA2381">
      <w:pPr>
        <w:numPr>
          <w:ilvl w:val="0"/>
          <w:numId w:val="21"/>
        </w:numPr>
        <w:spacing w:before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caractéristiques des comportements des personnes et des groupes en contexte organisationnel,</w:t>
      </w:r>
    </w:p>
    <w:p w:rsidR="00B4505C" w:rsidRDefault="00BA2381">
      <w:pPr>
        <w:numPr>
          <w:ilvl w:val="0"/>
          <w:numId w:val="21"/>
        </w:numPr>
        <w:spacing w:before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conditions d’un encadrement de qualité des part</w:t>
      </w:r>
      <w:r>
        <w:rPr>
          <w:sz w:val="22"/>
          <w:szCs w:val="22"/>
        </w:rPr>
        <w:t>enaires de travail en vue de soutenir le développement des compétences professionnelles de chacun,</w:t>
      </w:r>
    </w:p>
    <w:p w:rsidR="00B4505C" w:rsidRDefault="00BA2381">
      <w:pPr>
        <w:numPr>
          <w:ilvl w:val="0"/>
          <w:numId w:val="21"/>
        </w:numPr>
        <w:spacing w:before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besoins de formation,</w:t>
      </w:r>
    </w:p>
    <w:p w:rsidR="00B4505C" w:rsidRDefault="00BA2381">
      <w:pPr>
        <w:numPr>
          <w:ilvl w:val="0"/>
          <w:numId w:val="21"/>
        </w:numPr>
        <w:spacing w:before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démarche managériale (performance, style de </w:t>
      </w:r>
      <w:proofErr w:type="spellStart"/>
      <w:r>
        <w:rPr>
          <w:sz w:val="22"/>
          <w:szCs w:val="22"/>
        </w:rPr>
        <w:t>leardership</w:t>
      </w:r>
      <w:proofErr w:type="spellEnd"/>
      <w:r>
        <w:rPr>
          <w:sz w:val="22"/>
          <w:szCs w:val="22"/>
        </w:rPr>
        <w:t>, délégation, motivation…),</w:t>
      </w:r>
    </w:p>
    <w:p w:rsidR="00B4505C" w:rsidRDefault="00BA2381">
      <w:pPr>
        <w:numPr>
          <w:ilvl w:val="0"/>
          <w:numId w:val="21"/>
        </w:numPr>
        <w:spacing w:before="120" w:after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conditions de travail au sein d’une unité</w:t>
      </w:r>
      <w:r>
        <w:rPr>
          <w:sz w:val="22"/>
          <w:szCs w:val="22"/>
        </w:rPr>
        <w:t xml:space="preserve"> de soins (conflits…) ;</w:t>
      </w:r>
    </w:p>
    <w:p w:rsidR="00B4505C" w:rsidRDefault="00BA2381">
      <w:pPr>
        <w:numPr>
          <w:ilvl w:val="0"/>
          <w:numId w:val="15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d’identifier les notions juridiques spécifiques.</w:t>
      </w:r>
    </w:p>
    <w:p w:rsidR="00B4505C" w:rsidRDefault="00B4505C">
      <w:pPr>
        <w:spacing w:after="120"/>
        <w:ind w:left="284"/>
        <w:jc w:val="both"/>
        <w:rPr>
          <w:sz w:val="22"/>
          <w:szCs w:val="22"/>
          <w:lang w:val="fr-FR"/>
        </w:rPr>
      </w:pPr>
    </w:p>
    <w:p w:rsidR="00B4505C" w:rsidRDefault="00BA2381">
      <w:pPr>
        <w:ind w:left="284"/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Pour la détermination du degré de maîtrise, il sera tenu compte des critères suivants :</w:t>
      </w:r>
    </w:p>
    <w:p w:rsidR="00B4505C" w:rsidRDefault="00B4505C">
      <w:pPr>
        <w:ind w:left="284"/>
        <w:jc w:val="both"/>
        <w:rPr>
          <w:sz w:val="22"/>
          <w:szCs w:val="22"/>
          <w:lang w:val="fr-FR"/>
        </w:rPr>
      </w:pPr>
    </w:p>
    <w:p w:rsidR="00B4505C" w:rsidRDefault="00BA2381">
      <w:pPr>
        <w:numPr>
          <w:ilvl w:val="0"/>
          <w:numId w:val="15"/>
        </w:numPr>
        <w:spacing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de cohérence : la capacité à établir avec pertinence une majorité de liens logiques</w:t>
      </w:r>
      <w:r>
        <w:rPr>
          <w:sz w:val="22"/>
          <w:szCs w:val="22"/>
        </w:rPr>
        <w:t xml:space="preserve"> pour former un ensemble organisé,</w:t>
      </w:r>
    </w:p>
    <w:p w:rsidR="00B4505C" w:rsidRDefault="00BA2381">
      <w:pPr>
        <w:numPr>
          <w:ilvl w:val="0"/>
          <w:numId w:val="15"/>
        </w:numPr>
        <w:spacing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de précision : la clarté, l’exactitude et concision au niveau de la terminologie, des concepts et des principes/modèles,</w:t>
      </w:r>
    </w:p>
    <w:p w:rsidR="00B4505C" w:rsidRDefault="00BA2381">
      <w:pPr>
        <w:numPr>
          <w:ilvl w:val="0"/>
          <w:numId w:val="15"/>
        </w:numPr>
        <w:spacing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 : la capacité à s’approprier des notions, concepts et démarches en</w:t>
      </w:r>
      <w:r>
        <w:rPr>
          <w:sz w:val="22"/>
          <w:szCs w:val="22"/>
        </w:rPr>
        <w:t xml:space="preserve"> les intégrant dans son analyse, </w:t>
      </w:r>
    </w:p>
    <w:p w:rsidR="00B4505C" w:rsidRDefault="00BA2381">
      <w:pPr>
        <w:numPr>
          <w:ilvl w:val="0"/>
          <w:numId w:val="15"/>
        </w:numPr>
        <w:spacing w:after="120"/>
        <w:ind w:left="714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d’autonomie : la capacité de faire preuve d’initiatives démontrant une réflexion personnelle basée sur une utilisation réfléchie des ressources et des idées en interdépendance avec son environnement.</w:t>
      </w:r>
    </w:p>
    <w:p w:rsidR="00B4505C" w:rsidRDefault="00B4505C">
      <w:pPr>
        <w:rPr>
          <w:sz w:val="22"/>
        </w:rPr>
      </w:pPr>
    </w:p>
    <w:p w:rsidR="00B4505C" w:rsidRDefault="00B4505C">
      <w:pPr>
        <w:rPr>
          <w:sz w:val="22"/>
        </w:rPr>
      </w:pPr>
    </w:p>
    <w:p w:rsidR="00B4505C" w:rsidRDefault="00B4505C">
      <w:pPr>
        <w:rPr>
          <w:sz w:val="22"/>
        </w:rPr>
      </w:pPr>
    </w:p>
    <w:p w:rsidR="00B4505C" w:rsidRDefault="00BA2381">
      <w:pPr>
        <w:pStyle w:val="Paragraphedeliste"/>
        <w:numPr>
          <w:ilvl w:val="0"/>
          <w:numId w:val="22"/>
        </w:numPr>
        <w:tabs>
          <w:tab w:val="left" w:pos="284"/>
        </w:tabs>
        <w:jc w:val="both"/>
        <w:rPr>
          <w:b/>
          <w:sz w:val="22"/>
        </w:rPr>
      </w:pPr>
      <w:r>
        <w:rPr>
          <w:b/>
          <w:sz w:val="22"/>
        </w:rPr>
        <w:t>PROGRAMME</w:t>
      </w:r>
    </w:p>
    <w:p w:rsidR="00B4505C" w:rsidRDefault="00B4505C">
      <w:pPr>
        <w:ind w:left="284"/>
        <w:rPr>
          <w:sz w:val="22"/>
          <w:szCs w:val="22"/>
        </w:rPr>
      </w:pPr>
    </w:p>
    <w:p w:rsidR="00B4505C" w:rsidRDefault="00BA2381">
      <w:pPr>
        <w:ind w:left="284"/>
        <w:rPr>
          <w:i/>
          <w:sz w:val="22"/>
          <w:szCs w:val="22"/>
        </w:rPr>
      </w:pPr>
      <w:r>
        <w:rPr>
          <w:i/>
          <w:sz w:val="22"/>
          <w:szCs w:val="22"/>
        </w:rPr>
        <w:t>Au départ de situations professionnelles en relation avec la fonction de cadre de santé,</w:t>
      </w:r>
    </w:p>
    <w:p w:rsidR="00B4505C" w:rsidRDefault="00B4505C">
      <w:pPr>
        <w:ind w:left="284"/>
        <w:rPr>
          <w:i/>
          <w:sz w:val="22"/>
          <w:szCs w:val="22"/>
        </w:rPr>
      </w:pPr>
    </w:p>
    <w:p w:rsidR="00B4505C" w:rsidRDefault="00BA2381">
      <w:pPr>
        <w:ind w:left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l’étudiant</w:t>
      </w:r>
      <w:proofErr w:type="gramEnd"/>
      <w:r>
        <w:rPr>
          <w:sz w:val="22"/>
          <w:szCs w:val="22"/>
        </w:rPr>
        <w:t xml:space="preserve"> sera capable :</w:t>
      </w:r>
    </w:p>
    <w:p w:rsidR="00B4505C" w:rsidRDefault="00B4505C">
      <w:pPr>
        <w:ind w:left="284"/>
        <w:jc w:val="both"/>
        <w:rPr>
          <w:sz w:val="22"/>
          <w:szCs w:val="22"/>
        </w:rPr>
      </w:pPr>
    </w:p>
    <w:p w:rsidR="00B4505C" w:rsidRDefault="00BA2381">
      <w:pPr>
        <w:pStyle w:val="Paragraphedeliste"/>
        <w:numPr>
          <w:ilvl w:val="1"/>
          <w:numId w:val="22"/>
        </w:numPr>
        <w:ind w:left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En psychosociologie appliquée aux relations de travail 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d’identifier les composantes de la communication en groupe et d’en dégager les en</w:t>
      </w:r>
      <w:r>
        <w:rPr>
          <w:sz w:val="22"/>
          <w:szCs w:val="22"/>
        </w:rPr>
        <w:t>jeux dans le travail d'équipe ;</w:t>
      </w:r>
    </w:p>
    <w:p w:rsidR="00B4505C" w:rsidRDefault="00BA2381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de définir son propre comportement en groupe à l’aide de méthodes pédagogiques (par exemple : jeux de rôle, grilles d’observation, questionnaires,…) ;</w:t>
      </w:r>
    </w:p>
    <w:p w:rsidR="00B4505C" w:rsidRDefault="00BA2381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définir l'apport de l'analyse systémique dans la compréhension des </w:t>
      </w:r>
      <w:r>
        <w:rPr>
          <w:sz w:val="22"/>
          <w:szCs w:val="22"/>
        </w:rPr>
        <w:t>relations humaines ;</w:t>
      </w:r>
    </w:p>
    <w:p w:rsidR="00B4505C" w:rsidRDefault="00BA2381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d’identifier les mécanismes en jeu dans une réunion et d’en tenir compte comme participant et/ou comme animateur ;</w:t>
      </w:r>
    </w:p>
    <w:p w:rsidR="00B4505C" w:rsidRDefault="00BA2381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de s'interroger sur ce qui se passe, de formuler des hypothèses, de les vérifier et d’agir en fonction de ces </w:t>
      </w:r>
      <w:r>
        <w:rPr>
          <w:sz w:val="22"/>
          <w:szCs w:val="22"/>
        </w:rPr>
        <w:t>vérifications ;</w:t>
      </w:r>
    </w:p>
    <w:p w:rsidR="00B4505C" w:rsidRDefault="00BA2381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d’identifier les propriétés et les avantages d'une communication assertive ou d'affirmation de soi par rapport à d'autres modes de communication ;</w:t>
      </w:r>
    </w:p>
    <w:p w:rsidR="00B4505C" w:rsidRDefault="00BA2381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d’identifier les droits de la personne, les émotions et les modes d'expression de celles-ci t</w:t>
      </w:r>
      <w:r>
        <w:rPr>
          <w:sz w:val="22"/>
          <w:szCs w:val="22"/>
        </w:rPr>
        <w:t>ant chez soi que chez les partenaires de travail lors de l'analyse de situations vécues ;</w:t>
      </w:r>
    </w:p>
    <w:p w:rsidR="00B4505C" w:rsidRDefault="00BA2381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d’analyser avec l'aide de grilles de lecture psychologique les caractéristiques du mode de fonctionnement de chacun dans un rôle de cadre ou de gestionnaire d’équipe </w:t>
      </w:r>
      <w:r>
        <w:rPr>
          <w:sz w:val="22"/>
          <w:szCs w:val="22"/>
        </w:rPr>
        <w:t>et de son impact sur autrui ;</w:t>
      </w:r>
    </w:p>
    <w:p w:rsidR="00B4505C" w:rsidRDefault="00BA2381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de déterminer et de mettre en place certains comportements destinés à mieux gérer les relations avec les partenaires de travail.</w:t>
      </w:r>
    </w:p>
    <w:p w:rsidR="00B4505C" w:rsidRDefault="00B4505C">
      <w:pPr>
        <w:tabs>
          <w:tab w:val="left" w:pos="709"/>
        </w:tabs>
        <w:spacing w:before="120"/>
        <w:ind w:left="709"/>
        <w:jc w:val="both"/>
        <w:rPr>
          <w:sz w:val="22"/>
          <w:szCs w:val="22"/>
          <w:lang w:val="fr-FR"/>
        </w:rPr>
      </w:pPr>
    </w:p>
    <w:p w:rsidR="00B4505C" w:rsidRDefault="00BA2381">
      <w:pPr>
        <w:pStyle w:val="Paragraphedeliste"/>
        <w:numPr>
          <w:ilvl w:val="1"/>
          <w:numId w:val="22"/>
        </w:numPr>
        <w:ind w:left="709"/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En Management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définir les conceptions contemporaines du management 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décrire la démarche m</w:t>
      </w:r>
      <w:r>
        <w:rPr>
          <w:sz w:val="22"/>
          <w:szCs w:val="22"/>
        </w:rPr>
        <w:t>anagériale de manière générale et de l’appliquer de manière théorique au secteur des soins de santé 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 w:after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une situation de travail à partir d'outils conceptuels et notamment :</w:t>
      </w:r>
    </w:p>
    <w:p w:rsidR="00B4505C" w:rsidRDefault="00BA2381">
      <w:pPr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la différence entre management des ressources humaines et management huma</w:t>
      </w:r>
      <w:r>
        <w:rPr>
          <w:sz w:val="22"/>
          <w:szCs w:val="22"/>
        </w:rPr>
        <w:t>in,</w:t>
      </w:r>
    </w:p>
    <w:p w:rsidR="00B4505C" w:rsidRDefault="00BA2381">
      <w:pPr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conditions de la performance individuelle au travail,</w:t>
      </w:r>
    </w:p>
    <w:p w:rsidR="00B4505C" w:rsidRDefault="00BA2381">
      <w:pPr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conditions de la performance des groupes de travail,</w:t>
      </w:r>
    </w:p>
    <w:p w:rsidR="00B4505C" w:rsidRDefault="00BA2381">
      <w:pPr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conceptions et styles de leadership appliqués aux tâches de communication, motivation, évaluation,</w:t>
      </w:r>
    </w:p>
    <w:p w:rsidR="00B4505C" w:rsidRDefault="00BA2381">
      <w:pPr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les besoins du service sur le plan</w:t>
      </w:r>
      <w:r>
        <w:rPr>
          <w:sz w:val="22"/>
          <w:szCs w:val="22"/>
        </w:rPr>
        <w:t xml:space="preserve"> qualitatif 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de dégager des pistes d'action à mettre en œuvre pour faire évoluer favorablement la situation analysée 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>de situer et d’investir la fonction de cadre par rapport à la situation de travail 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les tâches susceptibles de faire l’objet</w:t>
      </w:r>
      <w:r>
        <w:rPr>
          <w:sz w:val="22"/>
          <w:szCs w:val="22"/>
        </w:rPr>
        <w:t xml:space="preserve"> d’une délégation 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de mettre en œuvre un processus pertinent d’évaluation, de délégation et de contrôle des tâches.</w:t>
      </w:r>
    </w:p>
    <w:p w:rsidR="00B4505C" w:rsidRDefault="00B4505C">
      <w:pPr>
        <w:tabs>
          <w:tab w:val="left" w:pos="709"/>
        </w:tabs>
        <w:spacing w:before="120"/>
        <w:ind w:left="708"/>
        <w:jc w:val="both"/>
        <w:rPr>
          <w:sz w:val="22"/>
          <w:szCs w:val="22"/>
          <w:lang w:val="fr-FR"/>
        </w:rPr>
      </w:pPr>
    </w:p>
    <w:p w:rsidR="00B4505C" w:rsidRDefault="00BA2381">
      <w:pPr>
        <w:pStyle w:val="Paragraphedeliste"/>
        <w:numPr>
          <w:ilvl w:val="1"/>
          <w:numId w:val="22"/>
        </w:numPr>
        <w:ind w:left="709"/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En gestion des conflits 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d’analyser et d’établir un diagnostic multidimensionnel des conflits 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d’identifier son mode personnel de </w:t>
      </w:r>
      <w:r>
        <w:rPr>
          <w:sz w:val="22"/>
          <w:szCs w:val="22"/>
        </w:rPr>
        <w:t>résolution des conflits et d’en évaluer l'efficacité à partir de situations vécues.</w:t>
      </w:r>
    </w:p>
    <w:p w:rsidR="00B4505C" w:rsidRDefault="00B4505C">
      <w:pPr>
        <w:tabs>
          <w:tab w:val="left" w:pos="709"/>
        </w:tabs>
        <w:spacing w:before="120"/>
        <w:ind w:left="708"/>
        <w:jc w:val="both"/>
        <w:rPr>
          <w:sz w:val="22"/>
          <w:szCs w:val="22"/>
          <w:lang w:val="fr-FR"/>
        </w:rPr>
      </w:pPr>
    </w:p>
    <w:p w:rsidR="00B4505C" w:rsidRDefault="00BA2381">
      <w:pPr>
        <w:pStyle w:val="Paragraphedeliste"/>
        <w:numPr>
          <w:ilvl w:val="1"/>
          <w:numId w:val="22"/>
        </w:numPr>
        <w:ind w:left="709"/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>En méthodologie</w:t>
      </w:r>
      <w:r>
        <w:rPr>
          <w:b/>
          <w:sz w:val="22"/>
          <w:szCs w:val="22"/>
        </w:rPr>
        <w:t xml:space="preserve"> de la formation d’adultes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les profils d'apprentissage et leurs conséquences dans les fonctions de formateur et/ou de tuteur 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d’assurer un enc</w:t>
      </w:r>
      <w:r>
        <w:rPr>
          <w:sz w:val="22"/>
          <w:szCs w:val="22"/>
        </w:rPr>
        <w:t>adrement de qualité par la mise en place d'un "coaching" adapté aux différents niveaux d'autonomie des apprenants stagiaires ou jeunes diplômés 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de négocier divers types de contrats dans son rôle de formateur 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d’identifier les différentes étapes d'un pro</w:t>
      </w:r>
      <w:r>
        <w:rPr>
          <w:sz w:val="22"/>
          <w:szCs w:val="22"/>
        </w:rPr>
        <w:t>cessus de formation 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lastRenderedPageBreak/>
        <w:t>de différencier besoin et demande de formation 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d’analyser un besoin de formation 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de formuler des objectifs et des buts dans le domaine de la formation d’adultes.</w:t>
      </w:r>
    </w:p>
    <w:p w:rsidR="00B4505C" w:rsidRDefault="00B4505C">
      <w:pPr>
        <w:snapToGrid w:val="0"/>
        <w:jc w:val="both"/>
        <w:rPr>
          <w:b/>
          <w:sz w:val="22"/>
          <w:szCs w:val="22"/>
        </w:rPr>
      </w:pPr>
    </w:p>
    <w:p w:rsidR="00B4505C" w:rsidRDefault="00BA2381">
      <w:pPr>
        <w:pStyle w:val="Paragraphedeliste"/>
        <w:numPr>
          <w:ilvl w:val="1"/>
          <w:numId w:val="22"/>
        </w:numPr>
        <w:ind w:left="709"/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En droit du travail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d’identifier les problèmes juridiques liés aux</w:t>
      </w:r>
      <w:r>
        <w:rPr>
          <w:sz w:val="22"/>
          <w:szCs w:val="22"/>
        </w:rPr>
        <w:t xml:space="preserve"> relations du travail ;</w:t>
      </w:r>
    </w:p>
    <w:p w:rsidR="00B4505C" w:rsidRDefault="00BA2381">
      <w:pPr>
        <w:numPr>
          <w:ilvl w:val="0"/>
          <w:numId w:val="2"/>
        </w:numPr>
        <w:tabs>
          <w:tab w:val="left" w:pos="709"/>
        </w:tabs>
        <w:spacing w:before="120"/>
        <w:ind w:left="1133" w:hanging="425"/>
        <w:jc w:val="both"/>
        <w:rPr>
          <w:sz w:val="22"/>
          <w:szCs w:val="22"/>
        </w:rPr>
      </w:pPr>
      <w:r>
        <w:rPr>
          <w:sz w:val="22"/>
          <w:szCs w:val="22"/>
        </w:rPr>
        <w:t>d’expliciter les principaux aspects du droit du travail notamment :</w:t>
      </w:r>
    </w:p>
    <w:p w:rsidR="00B4505C" w:rsidRDefault="00BA2381">
      <w:pPr>
        <w:numPr>
          <w:ilvl w:val="0"/>
          <w:numId w:val="19"/>
        </w:numPr>
        <w:spacing w:before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 contrat de travail,</w:t>
      </w:r>
    </w:p>
    <w:p w:rsidR="00B4505C" w:rsidRDefault="00BA2381">
      <w:pPr>
        <w:numPr>
          <w:ilvl w:val="0"/>
          <w:numId w:val="19"/>
        </w:numPr>
        <w:spacing w:before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relations individuelles et collectives de travail,</w:t>
      </w:r>
    </w:p>
    <w:p w:rsidR="00B4505C" w:rsidRDefault="00BA2381">
      <w:pPr>
        <w:numPr>
          <w:ilvl w:val="0"/>
          <w:numId w:val="19"/>
        </w:numPr>
        <w:spacing w:before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les conditions de travail,</w:t>
      </w:r>
    </w:p>
    <w:p w:rsidR="00B4505C" w:rsidRDefault="00BA2381">
      <w:pPr>
        <w:numPr>
          <w:ilvl w:val="0"/>
          <w:numId w:val="19"/>
        </w:numPr>
        <w:spacing w:before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droits et devoirs des partenaires en situation de </w:t>
      </w:r>
      <w:r>
        <w:rPr>
          <w:sz w:val="22"/>
          <w:szCs w:val="22"/>
        </w:rPr>
        <w:t>travail,</w:t>
      </w:r>
    </w:p>
    <w:p w:rsidR="00B4505C" w:rsidRDefault="00BA2381">
      <w:pPr>
        <w:numPr>
          <w:ilvl w:val="0"/>
          <w:numId w:val="19"/>
        </w:numPr>
        <w:spacing w:before="120"/>
        <w:ind w:left="2098"/>
        <w:jc w:val="both"/>
        <w:rPr>
          <w:sz w:val="22"/>
          <w:szCs w:val="22"/>
        </w:rPr>
      </w:pPr>
      <w:r>
        <w:rPr>
          <w:sz w:val="22"/>
          <w:szCs w:val="22"/>
        </w:rPr>
        <w:t>….</w:t>
      </w:r>
    </w:p>
    <w:p w:rsidR="00B4505C" w:rsidRDefault="00B4505C">
      <w:pPr>
        <w:tabs>
          <w:tab w:val="left" w:pos="709"/>
        </w:tabs>
        <w:spacing w:before="120"/>
        <w:jc w:val="both"/>
        <w:rPr>
          <w:sz w:val="22"/>
          <w:szCs w:val="22"/>
          <w:lang w:val="fr-FR"/>
        </w:rPr>
      </w:pPr>
    </w:p>
    <w:p w:rsidR="00B4505C" w:rsidRDefault="00B4505C">
      <w:pPr>
        <w:jc w:val="both"/>
        <w:rPr>
          <w:b/>
          <w:caps/>
          <w:sz w:val="22"/>
        </w:rPr>
      </w:pPr>
    </w:p>
    <w:p w:rsidR="00B4505C" w:rsidRDefault="00BA2381">
      <w:pPr>
        <w:pStyle w:val="Paragraphedeliste"/>
        <w:numPr>
          <w:ilvl w:val="0"/>
          <w:numId w:val="22"/>
        </w:numPr>
        <w:jc w:val="both"/>
        <w:rPr>
          <w:b/>
          <w:sz w:val="22"/>
        </w:rPr>
      </w:pPr>
      <w:r>
        <w:rPr>
          <w:b/>
          <w:caps/>
          <w:sz w:val="22"/>
        </w:rPr>
        <w:t>charge de cours</w:t>
      </w:r>
    </w:p>
    <w:p w:rsidR="00B4505C" w:rsidRDefault="00B4505C">
      <w:pPr>
        <w:jc w:val="both"/>
        <w:rPr>
          <w:b/>
          <w:sz w:val="22"/>
        </w:rPr>
      </w:pPr>
    </w:p>
    <w:p w:rsidR="00B4505C" w:rsidRDefault="00BA2381">
      <w:pPr>
        <w:ind w:firstLine="284"/>
        <w:jc w:val="both"/>
        <w:rPr>
          <w:sz w:val="22"/>
        </w:rPr>
      </w:pPr>
      <w:r>
        <w:rPr>
          <w:sz w:val="22"/>
        </w:rPr>
        <w:t>Un enseignant ou un expert.</w:t>
      </w:r>
    </w:p>
    <w:p w:rsidR="00B4505C" w:rsidRDefault="00BA2381">
      <w:pPr>
        <w:pStyle w:val="dbut1"/>
      </w:pPr>
      <w:r>
        <w:t>L’expert devra justifier de compétences particulières issues d’une expérience professionnelle actualisée en relation avec le programme du présent dossier.</w:t>
      </w:r>
    </w:p>
    <w:p w:rsidR="00B4505C" w:rsidRDefault="00B4505C">
      <w:pPr>
        <w:pStyle w:val="Pieddepage"/>
        <w:tabs>
          <w:tab w:val="clear" w:pos="9072"/>
        </w:tabs>
        <w:ind w:left="284"/>
        <w:jc w:val="both"/>
        <w:rPr>
          <w:sz w:val="22"/>
        </w:rPr>
      </w:pPr>
    </w:p>
    <w:p w:rsidR="00B4505C" w:rsidRDefault="00B4505C">
      <w:pPr>
        <w:jc w:val="both"/>
        <w:rPr>
          <w:b/>
          <w:sz w:val="22"/>
        </w:rPr>
      </w:pPr>
    </w:p>
    <w:p w:rsidR="00B4505C" w:rsidRDefault="00BA2381">
      <w:pPr>
        <w:pStyle w:val="Paragraphedeliste"/>
        <w:numPr>
          <w:ilvl w:val="0"/>
          <w:numId w:val="22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 w:rsidR="00B4505C" w:rsidRDefault="00B4505C">
      <w:pPr>
        <w:jc w:val="both"/>
        <w:rPr>
          <w:bCs/>
          <w:sz w:val="24"/>
        </w:rPr>
      </w:pPr>
    </w:p>
    <w:p w:rsidR="00B4505C" w:rsidRDefault="00BA2381">
      <w:pPr>
        <w:ind w:left="284"/>
        <w:jc w:val="both"/>
        <w:rPr>
          <w:bCs/>
          <w:sz w:val="22"/>
        </w:rPr>
      </w:pPr>
      <w:r>
        <w:rPr>
          <w:sz w:val="22"/>
        </w:rPr>
        <w:t>Aucune recommandation particulière</w:t>
      </w:r>
      <w:r>
        <w:rPr>
          <w:bCs/>
          <w:sz w:val="22"/>
        </w:rPr>
        <w:t>.</w:t>
      </w:r>
    </w:p>
    <w:p w:rsidR="00B4505C" w:rsidRDefault="00B4505C">
      <w:pPr>
        <w:ind w:left="284"/>
        <w:jc w:val="both"/>
      </w:pPr>
    </w:p>
    <w:p w:rsidR="00B4505C" w:rsidRDefault="00B4505C">
      <w:pPr>
        <w:ind w:left="284"/>
        <w:jc w:val="both"/>
      </w:pPr>
    </w:p>
    <w:p w:rsidR="00B4505C" w:rsidRDefault="00BA2381">
      <w:pPr>
        <w:pStyle w:val="Paragraphedeliste"/>
        <w:numPr>
          <w:ilvl w:val="0"/>
          <w:numId w:val="22"/>
        </w:numPr>
        <w:tabs>
          <w:tab w:val="left" w:pos="284"/>
        </w:tabs>
        <w:jc w:val="both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Horaire minimum de l'unité d’enseignement</w:t>
      </w:r>
    </w:p>
    <w:p w:rsidR="00B4505C" w:rsidRDefault="00B4505C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tbl>
      <w:tblPr>
        <w:tblW w:w="9862" w:type="dxa"/>
        <w:tblInd w:w="-1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72"/>
        <w:gridCol w:w="1559"/>
        <w:gridCol w:w="1559"/>
        <w:gridCol w:w="1572"/>
      </w:tblGrid>
      <w:tr w:rsidR="00B4505C">
        <w:trPr>
          <w:cantSplit/>
        </w:trPr>
        <w:tc>
          <w:tcPr>
            <w:tcW w:w="5172" w:type="dxa"/>
            <w:shd w:val="clear" w:color="auto" w:fill="auto"/>
            <w:vAlign w:val="center"/>
          </w:tcPr>
          <w:p w:rsidR="00B4505C" w:rsidRDefault="00BA2381">
            <w:pPr>
              <w:pStyle w:val="Paragraphedeliste"/>
              <w:numPr>
                <w:ilvl w:val="1"/>
                <w:numId w:val="22"/>
              </w:numPr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Dénomination 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505C" w:rsidRDefault="00BA2381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Classement </w:t>
            </w:r>
          </w:p>
          <w:p w:rsidR="00B4505C" w:rsidRDefault="00BA23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du cours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4505C" w:rsidRDefault="00BA2381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B4505C" w:rsidRDefault="00BA2381"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 w:rsidR="00B4505C">
        <w:trPr>
          <w:cantSplit/>
        </w:trPr>
        <w:tc>
          <w:tcPr>
            <w:tcW w:w="5172" w:type="dxa"/>
            <w:shd w:val="clear" w:color="auto" w:fill="auto"/>
          </w:tcPr>
          <w:p w:rsidR="00B4505C" w:rsidRDefault="00BA2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</w:rPr>
              <w:t>Psychosociologie</w:t>
            </w:r>
            <w:r>
              <w:rPr>
                <w:sz w:val="22"/>
                <w:szCs w:val="22"/>
              </w:rPr>
              <w:t xml:space="preserve"> appliquée aux relations de travail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B4505C">
        <w:trPr>
          <w:cantSplit/>
        </w:trPr>
        <w:tc>
          <w:tcPr>
            <w:tcW w:w="5172" w:type="dxa"/>
            <w:shd w:val="clear" w:color="auto" w:fill="auto"/>
          </w:tcPr>
          <w:p w:rsidR="00B4505C" w:rsidRDefault="00BA2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Management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B4505C">
        <w:trPr>
          <w:cantSplit/>
        </w:trPr>
        <w:tc>
          <w:tcPr>
            <w:tcW w:w="5172" w:type="dxa"/>
            <w:shd w:val="clear" w:color="auto" w:fill="auto"/>
          </w:tcPr>
          <w:p w:rsidR="00B4505C" w:rsidRDefault="00BA2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Gestion des conflits 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B4505C">
        <w:trPr>
          <w:cantSplit/>
        </w:trPr>
        <w:tc>
          <w:tcPr>
            <w:tcW w:w="5172" w:type="dxa"/>
            <w:shd w:val="clear" w:color="auto" w:fill="auto"/>
          </w:tcPr>
          <w:p w:rsidR="00B4505C" w:rsidRDefault="00BA2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Méthodologie de la formation d’adultes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B4505C">
        <w:trPr>
          <w:cantSplit/>
        </w:trPr>
        <w:tc>
          <w:tcPr>
            <w:tcW w:w="5172" w:type="dxa"/>
            <w:shd w:val="clear" w:color="auto" w:fill="auto"/>
          </w:tcPr>
          <w:p w:rsidR="00B4505C" w:rsidRDefault="00BA2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Droit du travail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72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B4505C">
        <w:trPr>
          <w:cantSplit/>
        </w:trPr>
        <w:tc>
          <w:tcPr>
            <w:tcW w:w="5172" w:type="dxa"/>
            <w:shd w:val="clear" w:color="auto" w:fill="auto"/>
          </w:tcPr>
          <w:p w:rsidR="00B4505C" w:rsidRDefault="00BA2381">
            <w:pPr>
              <w:pStyle w:val="Paragraphedeliste"/>
              <w:numPr>
                <w:ilvl w:val="1"/>
                <w:numId w:val="22"/>
              </w:numPr>
              <w:ind w:left="48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Part d'autonomie</w:t>
            </w:r>
          </w:p>
        </w:tc>
        <w:tc>
          <w:tcPr>
            <w:tcW w:w="1559" w:type="dxa"/>
            <w:shd w:val="clear" w:color="auto" w:fill="auto"/>
          </w:tcPr>
          <w:p w:rsidR="00B4505C" w:rsidRDefault="00B4505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72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B4505C">
        <w:trPr>
          <w:cantSplit/>
        </w:trPr>
        <w:tc>
          <w:tcPr>
            <w:tcW w:w="5172" w:type="dxa"/>
            <w:shd w:val="clear" w:color="auto" w:fill="auto"/>
          </w:tcPr>
          <w:p w:rsidR="00B4505C" w:rsidRDefault="00BA238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559" w:type="dxa"/>
            <w:shd w:val="clear" w:color="auto" w:fill="auto"/>
          </w:tcPr>
          <w:p w:rsidR="00B4505C" w:rsidRDefault="00B4505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B4505C" w:rsidRDefault="00B4505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2" w:type="dxa"/>
            <w:shd w:val="clear" w:color="auto" w:fill="auto"/>
          </w:tcPr>
          <w:p w:rsidR="00B4505C" w:rsidRDefault="00BA238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</w:tbl>
    <w:p w:rsidR="00B4505C" w:rsidRDefault="00B4505C">
      <w:pPr>
        <w:tabs>
          <w:tab w:val="left" w:pos="284"/>
        </w:tabs>
        <w:jc w:val="both"/>
        <w:rPr>
          <w:b/>
          <w:caps/>
          <w:sz w:val="22"/>
          <w:szCs w:val="22"/>
        </w:rPr>
      </w:pPr>
    </w:p>
    <w:p w:rsidR="00B4505C" w:rsidRDefault="00B4505C">
      <w:pPr>
        <w:ind w:left="284"/>
        <w:jc w:val="both"/>
      </w:pPr>
    </w:p>
    <w:sectPr w:rsidR="00B4505C" w:rsidSect="00B450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276" w:left="1417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05C" w:rsidRDefault="00BA2381">
      <w:r>
        <w:separator/>
      </w:r>
    </w:p>
  </w:endnote>
  <w:endnote w:type="continuationSeparator" w:id="0">
    <w:p w:rsidR="00B4505C" w:rsidRDefault="00BA23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5C" w:rsidRDefault="00B4505C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5C" w:rsidRDefault="00BA2381">
    <w:pPr>
      <w:pStyle w:val="Pieddepage"/>
    </w:pPr>
    <w:r>
      <w:t xml:space="preserve">Gestion des ressources humaines du secteur de </w:t>
    </w:r>
    <w:smartTag w:uri="urn:schemas-microsoft-com:office:smarttags" w:element="PersonName">
      <w:smartTagPr>
        <w:attr w:name="ProductID" w:val="la sant￩  Page"/>
      </w:smartTagPr>
      <w:r>
        <w:t>la santé</w:t>
      </w:r>
      <w:r>
        <w:tab/>
      </w:r>
      <w:r>
        <w:tab/>
        <w:t>Page</w:t>
      </w:r>
    </w:smartTag>
    <w:r>
      <w:t xml:space="preserve"> </w:t>
    </w:r>
    <w:r w:rsidR="00B4505C">
      <w:fldChar w:fldCharType="begin"/>
    </w:r>
    <w:r>
      <w:instrText>PAGE</w:instrText>
    </w:r>
    <w:r w:rsidR="00B4505C">
      <w:fldChar w:fldCharType="separate"/>
    </w:r>
    <w:r>
      <w:rPr>
        <w:noProof/>
      </w:rPr>
      <w:t>5</w:t>
    </w:r>
    <w:r w:rsidR="00B4505C">
      <w:fldChar w:fldCharType="end"/>
    </w:r>
    <w:r>
      <w:t xml:space="preserve"> sur </w:t>
    </w:r>
    <w:r w:rsidR="00B4505C">
      <w:fldChar w:fldCharType="begin"/>
    </w:r>
    <w:r>
      <w:instrText>NUMPAGES</w:instrText>
    </w:r>
    <w:r w:rsidR="00B4505C">
      <w:fldChar w:fldCharType="separate"/>
    </w:r>
    <w:r>
      <w:rPr>
        <w:noProof/>
      </w:rPr>
      <w:t>5</w:t>
    </w:r>
    <w:r w:rsidR="00B4505C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5C" w:rsidRDefault="00B4505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05C" w:rsidRDefault="00BA2381">
      <w:r>
        <w:separator/>
      </w:r>
    </w:p>
  </w:footnote>
  <w:footnote w:type="continuationSeparator" w:id="0">
    <w:p w:rsidR="00B4505C" w:rsidRDefault="00BA23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5C" w:rsidRDefault="00B4505C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5C" w:rsidRDefault="00B4505C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05C" w:rsidRDefault="00B4505C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"/>
      <w:lvlJc w:val="left"/>
      <w:pPr>
        <w:tabs>
          <w:tab w:val="num" w:pos="0"/>
        </w:tabs>
        <w:ind w:left="1854" w:hanging="360"/>
      </w:pPr>
      <w:rPr>
        <w:rFonts w:ascii="Symbol" w:hAnsi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4" w:hanging="360"/>
      </w:pPr>
      <w:rPr>
        <w:rFonts w:ascii="Wingdings" w:hAnsi="Wingdings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12E60E0"/>
    <w:multiLevelType w:val="hybridMultilevel"/>
    <w:tmpl w:val="ABC0705A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8776C2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06941606"/>
    <w:multiLevelType w:val="singleLevel"/>
    <w:tmpl w:val="6E4E167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8">
    <w:nsid w:val="06C84958"/>
    <w:multiLevelType w:val="singleLevel"/>
    <w:tmpl w:val="FFFFFFFF"/>
    <w:lvl w:ilvl="0">
      <w:numFmt w:val="decimal"/>
      <w:lvlText w:val="*"/>
      <w:lvlJc w:val="left"/>
    </w:lvl>
  </w:abstractNum>
  <w:abstractNum w:abstractNumId="9">
    <w:nsid w:val="16254474"/>
    <w:multiLevelType w:val="hybridMultilevel"/>
    <w:tmpl w:val="715E9436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725A4"/>
    <w:multiLevelType w:val="hybridMultilevel"/>
    <w:tmpl w:val="BEECDA94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575356"/>
    <w:multiLevelType w:val="singleLevel"/>
    <w:tmpl w:val="FFFFFFFF"/>
    <w:lvl w:ilvl="0">
      <w:numFmt w:val="decimal"/>
      <w:lvlText w:val="*"/>
      <w:lvlJc w:val="left"/>
    </w:lvl>
  </w:abstractNum>
  <w:abstractNum w:abstractNumId="12">
    <w:nsid w:val="217F45DF"/>
    <w:multiLevelType w:val="hybridMultilevel"/>
    <w:tmpl w:val="B0484FBA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357B9D"/>
    <w:multiLevelType w:val="singleLevel"/>
    <w:tmpl w:val="7EF86974"/>
    <w:lvl w:ilvl="0">
      <w:start w:val="1"/>
      <w:numFmt w:val="bullet"/>
      <w:pStyle w:val="normal01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14">
    <w:nsid w:val="25184DE4"/>
    <w:multiLevelType w:val="hybridMultilevel"/>
    <w:tmpl w:val="E35610BC"/>
    <w:lvl w:ilvl="0" w:tplc="D1B0CFF0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2A373F8F"/>
    <w:multiLevelType w:val="singleLevel"/>
    <w:tmpl w:val="6E4E167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>
    <w:nsid w:val="2E273C5A"/>
    <w:multiLevelType w:val="hybridMultilevel"/>
    <w:tmpl w:val="1DFA69A2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33D73"/>
    <w:multiLevelType w:val="hybridMultilevel"/>
    <w:tmpl w:val="592ED4E4"/>
    <w:lvl w:ilvl="0" w:tplc="775EBA7A">
      <w:start w:val="1"/>
      <w:numFmt w:val="bullet"/>
      <w:lvlText w:val=""/>
      <w:lvlJc w:val="left"/>
      <w:pPr>
        <w:tabs>
          <w:tab w:val="num" w:pos="2116"/>
        </w:tabs>
        <w:ind w:left="2096" w:hanging="34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345"/>
        </w:tabs>
        <w:ind w:left="2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65"/>
        </w:tabs>
        <w:ind w:left="3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85"/>
        </w:tabs>
        <w:ind w:left="3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05"/>
        </w:tabs>
        <w:ind w:left="4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25"/>
        </w:tabs>
        <w:ind w:left="5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45"/>
        </w:tabs>
        <w:ind w:left="5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65"/>
        </w:tabs>
        <w:ind w:left="6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85"/>
        </w:tabs>
        <w:ind w:left="7385" w:hanging="360"/>
      </w:pPr>
      <w:rPr>
        <w:rFonts w:ascii="Wingdings" w:hAnsi="Wingdings" w:hint="default"/>
      </w:rPr>
    </w:lvl>
  </w:abstractNum>
  <w:abstractNum w:abstractNumId="18">
    <w:nsid w:val="39C14FFC"/>
    <w:multiLevelType w:val="multilevel"/>
    <w:tmpl w:val="9ADEE724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9">
    <w:nsid w:val="3BD40489"/>
    <w:multiLevelType w:val="hybridMultilevel"/>
    <w:tmpl w:val="46D0FF6E"/>
    <w:lvl w:ilvl="0" w:tplc="775EBA7A">
      <w:start w:val="1"/>
      <w:numFmt w:val="bullet"/>
      <w:lvlText w:val=""/>
      <w:lvlJc w:val="left"/>
      <w:pPr>
        <w:tabs>
          <w:tab w:val="num" w:pos="2116"/>
        </w:tabs>
        <w:ind w:left="2096" w:hanging="340"/>
      </w:pPr>
      <w:rPr>
        <w:rFonts w:ascii="Symbol" w:hAnsi="Symbol" w:hint="default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B6782A"/>
    <w:multiLevelType w:val="multilevel"/>
    <w:tmpl w:val="8320F9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1">
    <w:nsid w:val="602F41D7"/>
    <w:multiLevelType w:val="singleLevel"/>
    <w:tmpl w:val="6E4E167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2">
    <w:nsid w:val="641D74CD"/>
    <w:multiLevelType w:val="multilevel"/>
    <w:tmpl w:val="BEECDA94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9B4843"/>
    <w:multiLevelType w:val="hybridMultilevel"/>
    <w:tmpl w:val="9B4C3E1A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9B7271"/>
    <w:multiLevelType w:val="hybridMultilevel"/>
    <w:tmpl w:val="E3FA8A1C"/>
    <w:lvl w:ilvl="0" w:tplc="F2C87824">
      <w:start w:val="1"/>
      <w:numFmt w:val="bullet"/>
      <w:pStyle w:val="Listepuces"/>
      <w:lvlText w:val=""/>
      <w:lvlJc w:val="left"/>
      <w:pPr>
        <w:ind w:left="765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7A142B79"/>
    <w:multiLevelType w:val="hybridMultilevel"/>
    <w:tmpl w:val="2E840BD8"/>
    <w:lvl w:ilvl="0" w:tplc="D1B0CFF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3">
    <w:abstractNumId w:val="14"/>
  </w:num>
  <w:num w:numId="4">
    <w:abstractNumId w:val="11"/>
  </w:num>
  <w:num w:numId="5">
    <w:abstractNumId w:val="20"/>
  </w:num>
  <w:num w:numId="6">
    <w:abstractNumId w:val="7"/>
  </w:num>
  <w:num w:numId="7">
    <w:abstractNumId w:val="23"/>
  </w:num>
  <w:num w:numId="8">
    <w:abstractNumId w:val="25"/>
  </w:num>
  <w:num w:numId="9">
    <w:abstractNumId w:val="12"/>
  </w:num>
  <w:num w:numId="10">
    <w:abstractNumId w:val="15"/>
  </w:num>
  <w:num w:numId="11">
    <w:abstractNumId w:val="9"/>
  </w:num>
  <w:num w:numId="12">
    <w:abstractNumId w:val="5"/>
  </w:num>
  <w:num w:numId="13">
    <w:abstractNumId w:val="21"/>
  </w:num>
  <w:num w:numId="14">
    <w:abstractNumId w:val="16"/>
  </w:num>
  <w:num w:numId="15">
    <w:abstractNumId w:val="10"/>
  </w:num>
  <w:num w:numId="16">
    <w:abstractNumId w:val="24"/>
  </w:num>
  <w:num w:numId="17">
    <w:abstractNumId w:val="0"/>
    <w:lvlOverride w:ilvl="0">
      <w:lvl w:ilvl="0">
        <w:numFmt w:val="bullet"/>
        <w:lvlText w:val=""/>
        <w:legacy w:legacy="1" w:legacySpace="0" w:legacyIndent="360"/>
        <w:lvlJc w:val="left"/>
        <w:pPr>
          <w:ind w:left="928" w:hanging="360"/>
        </w:pPr>
        <w:rPr>
          <w:rFonts w:ascii="Symbol" w:hAnsi="Symbol" w:hint="default"/>
        </w:rPr>
      </w:lvl>
    </w:lvlOverride>
  </w:num>
  <w:num w:numId="18">
    <w:abstractNumId w:val="8"/>
  </w:num>
  <w:num w:numId="19">
    <w:abstractNumId w:val="17"/>
  </w:num>
  <w:num w:numId="20">
    <w:abstractNumId w:val="22"/>
  </w:num>
  <w:num w:numId="21">
    <w:abstractNumId w:val="19"/>
  </w:num>
  <w:num w:numId="22">
    <w:abstractNumId w:val="6"/>
  </w:num>
  <w:num w:numId="23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4505C"/>
    <w:rsid w:val="002F7D68"/>
    <w:rsid w:val="00B4505C"/>
    <w:rsid w:val="00BA2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505C"/>
    <w:rPr>
      <w:lang w:eastAsia="fr-FR"/>
    </w:rPr>
  </w:style>
  <w:style w:type="paragraph" w:styleId="Titre2">
    <w:name w:val="heading 2"/>
    <w:basedOn w:val="Normal"/>
    <w:next w:val="Normal"/>
    <w:qFormat/>
    <w:rsid w:val="00B4505C"/>
    <w:pPr>
      <w:keepNext/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rsid w:val="00B4505C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rsid w:val="00B4505C"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rsid w:val="00B4505C"/>
    <w:pPr>
      <w:keepNext/>
      <w:jc w:val="center"/>
      <w:outlineLvl w:val="4"/>
    </w:pPr>
    <w:rPr>
      <w:b/>
      <w:caps/>
      <w:sz w:val="32"/>
    </w:rPr>
  </w:style>
  <w:style w:type="paragraph" w:styleId="Titre6">
    <w:name w:val="heading 6"/>
    <w:basedOn w:val="Normal"/>
    <w:next w:val="Normal"/>
    <w:qFormat/>
    <w:rsid w:val="00B4505C"/>
    <w:p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rsid w:val="00B4505C"/>
    <w:p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rsid w:val="00B4505C"/>
    <w:p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rsid w:val="00B4505C"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rsid w:val="00B4505C"/>
    <w:rPr>
      <w:rFonts w:ascii="MS Serif" w:hAnsi="MS Serif"/>
      <w:noProof/>
    </w:rPr>
  </w:style>
  <w:style w:type="paragraph" w:styleId="En-tte">
    <w:name w:val="header"/>
    <w:basedOn w:val="Normal"/>
    <w:rsid w:val="00B4505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B4505C"/>
    <w:pPr>
      <w:tabs>
        <w:tab w:val="center" w:pos="4536"/>
        <w:tab w:val="right" w:pos="9072"/>
      </w:tabs>
    </w:pPr>
    <w:rPr>
      <w:lang/>
    </w:rPr>
  </w:style>
  <w:style w:type="paragraph" w:customStyle="1" w:styleId="normal01">
    <w:name w:val="normal01"/>
    <w:basedOn w:val="Normal"/>
    <w:rsid w:val="00B4505C"/>
    <w:pPr>
      <w:numPr>
        <w:numId w:val="1"/>
      </w:numPr>
    </w:pPr>
    <w:rPr>
      <w:rFonts w:ascii="Arial" w:hAnsi="Arial" w:cs="Arial"/>
      <w:sz w:val="24"/>
      <w:szCs w:val="24"/>
    </w:rPr>
  </w:style>
  <w:style w:type="paragraph" w:styleId="Retraitcorpsdetexte2">
    <w:name w:val="Body Text Indent 2"/>
    <w:basedOn w:val="Normal"/>
    <w:rsid w:val="00B4505C"/>
    <w:pPr>
      <w:ind w:left="709"/>
    </w:pPr>
    <w:rPr>
      <w:snapToGrid w:val="0"/>
      <w:sz w:val="22"/>
      <w:szCs w:val="22"/>
    </w:rPr>
  </w:style>
  <w:style w:type="paragraph" w:styleId="Retraitcorpsdetexte3">
    <w:name w:val="Body Text Indent 3"/>
    <w:basedOn w:val="Normal"/>
    <w:rsid w:val="00B4505C"/>
    <w:pPr>
      <w:ind w:left="1134"/>
      <w:jc w:val="both"/>
    </w:pPr>
    <w:rPr>
      <w:i/>
      <w:iCs/>
      <w:color w:val="000000"/>
      <w:sz w:val="22"/>
      <w:szCs w:val="22"/>
    </w:rPr>
  </w:style>
  <w:style w:type="paragraph" w:styleId="NormalWeb">
    <w:name w:val="Normal (Web)"/>
    <w:basedOn w:val="Normal"/>
    <w:rsid w:val="00B4505C"/>
    <w:pPr>
      <w:spacing w:before="100" w:beforeAutospacing="1" w:after="100" w:afterAutospacing="1"/>
    </w:pPr>
    <w:rPr>
      <w:rFonts w:eastAsia="SimSun"/>
      <w:color w:val="000000"/>
      <w:sz w:val="24"/>
      <w:szCs w:val="24"/>
      <w:lang w:val="fr-FR" w:eastAsia="zh-CN"/>
    </w:rPr>
  </w:style>
  <w:style w:type="paragraph" w:customStyle="1" w:styleId="dbut1">
    <w:name w:val="début1"/>
    <w:basedOn w:val="Normal"/>
    <w:autoRedefine/>
    <w:rsid w:val="00B4505C"/>
    <w:pPr>
      <w:tabs>
        <w:tab w:val="left" w:pos="851"/>
      </w:tabs>
      <w:autoSpaceDE w:val="0"/>
      <w:autoSpaceDN w:val="0"/>
      <w:spacing w:before="120"/>
      <w:ind w:left="284"/>
      <w:jc w:val="both"/>
    </w:pPr>
    <w:rPr>
      <w:sz w:val="22"/>
      <w:szCs w:val="22"/>
      <w:lang w:val="fr-FR"/>
    </w:rPr>
  </w:style>
  <w:style w:type="character" w:customStyle="1" w:styleId="PieddepageCar">
    <w:name w:val="Pied de page Car"/>
    <w:link w:val="Pieddepage"/>
    <w:uiPriority w:val="99"/>
    <w:rsid w:val="00B4505C"/>
    <w:rPr>
      <w:lang w:eastAsia="fr-FR"/>
    </w:rPr>
  </w:style>
  <w:style w:type="paragraph" w:customStyle="1" w:styleId="Retraitcorpsdetexte31">
    <w:name w:val="Retrait corps de texte 31"/>
    <w:basedOn w:val="Normal"/>
    <w:rsid w:val="00B4505C"/>
    <w:pPr>
      <w:suppressAutoHyphens/>
    </w:pPr>
    <w:rPr>
      <w:kern w:val="1"/>
      <w:lang w:eastAsia="ar-SA"/>
    </w:rPr>
  </w:style>
  <w:style w:type="paragraph" w:customStyle="1" w:styleId="Normaltxtdosped">
    <w:name w:val="Normal.txtdosped"/>
    <w:rsid w:val="00B4505C"/>
    <w:rPr>
      <w:lang w:val="fr-FR" w:eastAsia="fr-FR"/>
    </w:rPr>
  </w:style>
  <w:style w:type="paragraph" w:styleId="Corpsdetexte">
    <w:name w:val="Body Text"/>
    <w:basedOn w:val="Normal"/>
    <w:link w:val="CorpsdetexteCar"/>
    <w:rsid w:val="00B4505C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B4505C"/>
    <w:rPr>
      <w:lang w:val="fr-BE"/>
    </w:rPr>
  </w:style>
  <w:style w:type="paragraph" w:styleId="Listepuces">
    <w:name w:val="List Bullet"/>
    <w:basedOn w:val="Normal"/>
    <w:autoRedefine/>
    <w:rsid w:val="00B4505C"/>
    <w:pPr>
      <w:numPr>
        <w:numId w:val="16"/>
      </w:numPr>
    </w:pPr>
    <w:rPr>
      <w:lang w:val="fr-FR"/>
    </w:rPr>
  </w:style>
  <w:style w:type="paragraph" w:styleId="Paragraphedeliste">
    <w:name w:val="List Paragraph"/>
    <w:basedOn w:val="Normal"/>
    <w:uiPriority w:val="34"/>
    <w:qFormat/>
    <w:rsid w:val="00B4505C"/>
    <w:pPr>
      <w:ind w:left="720"/>
      <w:contextualSpacing/>
    </w:pPr>
  </w:style>
  <w:style w:type="paragraph" w:styleId="Retraitcorpsdetexte">
    <w:name w:val="Body Text Indent"/>
    <w:basedOn w:val="Normal"/>
    <w:link w:val="RetraitcorpsdetexteCar"/>
    <w:rsid w:val="00B4505C"/>
    <w:pPr>
      <w:spacing w:after="120"/>
      <w:ind w:left="283"/>
    </w:pPr>
    <w:rPr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rsid w:val="00B4505C"/>
    <w:rPr>
      <w:lang w:val="fr-FR"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5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avagne\Application%20Data\Microsoft\Mod&#232;les\page%20de%20garde%20bachelie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page de garde bachelier.dot</Template>
  <TotalTime>12</TotalTime>
  <Pages>5</Pages>
  <Words>1336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HP</Company>
  <LinksUpToDate>false</LinksUpToDate>
  <CharactersWithSpaces>8465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subject/>
  <dc:creator>Chavagne</dc:creator>
  <cp:keywords/>
  <cp:lastModifiedBy>Audrey Faniel</cp:lastModifiedBy>
  <cp:revision>11</cp:revision>
  <cp:lastPrinted>2011-04-28T17:56:00Z</cp:lastPrinted>
  <dcterms:created xsi:type="dcterms:W3CDTF">2018-04-08T08:38:00Z</dcterms:created>
  <dcterms:modified xsi:type="dcterms:W3CDTF">2020-01-22T14:17:00Z</dcterms:modified>
</cp:coreProperties>
</file>